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EBD2B9" w14:textId="77777777" w:rsidR="00D04B6E" w:rsidRPr="00177078" w:rsidRDefault="00D04B6E" w:rsidP="00D04B6E">
      <w:pPr>
        <w:spacing w:after="160" w:line="276" w:lineRule="auto"/>
        <w:jc w:val="both"/>
        <w:outlineLvl w:val="0"/>
        <w:rPr>
          <w:b/>
        </w:rPr>
      </w:pPr>
      <w:r w:rsidRPr="00177078">
        <w:rPr>
          <w:b/>
        </w:rPr>
        <w:t xml:space="preserve">Conventional PCR </w:t>
      </w:r>
      <w:r>
        <w:rPr>
          <w:b/>
        </w:rPr>
        <w:t xml:space="preserve">detection of </w:t>
      </w:r>
      <w:r w:rsidRPr="00A10C9B">
        <w:rPr>
          <w:b/>
          <w:i/>
        </w:rPr>
        <w:t>Brucella</w:t>
      </w:r>
      <w:r>
        <w:rPr>
          <w:b/>
        </w:rPr>
        <w:t xml:space="preserve"> DNA</w:t>
      </w:r>
    </w:p>
    <w:p w14:paraId="08FFA3E1" w14:textId="77777777" w:rsidR="00D04B6E" w:rsidRPr="00177078" w:rsidRDefault="00D04B6E" w:rsidP="00D04B6E">
      <w:pPr>
        <w:spacing w:line="276" w:lineRule="auto"/>
        <w:jc w:val="both"/>
      </w:pPr>
      <w:r w:rsidRPr="00177078">
        <w:rPr>
          <w:color w:val="242C35"/>
          <w:spacing w:val="5"/>
        </w:rPr>
        <w:t xml:space="preserve">Molecular identification of the genus </w:t>
      </w:r>
      <w:r w:rsidRPr="00177078">
        <w:rPr>
          <w:i/>
          <w:color w:val="242C35"/>
          <w:spacing w:val="5"/>
        </w:rPr>
        <w:t>Brucella</w:t>
      </w:r>
      <w:r w:rsidRPr="00177078">
        <w:rPr>
          <w:color w:val="242C35"/>
          <w:spacing w:val="5"/>
        </w:rPr>
        <w:t xml:space="preserve"> was done using two sets of primers</w:t>
      </w:r>
      <w:r>
        <w:rPr>
          <w:color w:val="242C35"/>
          <w:spacing w:val="5"/>
        </w:rPr>
        <w:t>:</w:t>
      </w:r>
      <w:r w:rsidRPr="00177078">
        <w:rPr>
          <w:color w:val="242C35"/>
          <w:spacing w:val="5"/>
        </w:rPr>
        <w:t xml:space="preserve"> B4 forward (5´-TGG CTC GGT TGC CAA TAT CAA-3´) and B5 reverse (5´-CGC GCT TGC CTT TCA GGT CTG-3), as previously reported</w:t>
      </w:r>
      <w:r>
        <w:rPr>
          <w:color w:val="242C35"/>
          <w:spacing w:val="5"/>
        </w:rPr>
        <w:t xml:space="preserve"> </w:t>
      </w:r>
      <w:r w:rsidRPr="00177078">
        <w:rPr>
          <w:color w:val="242C35"/>
          <w:spacing w:val="5"/>
        </w:rPr>
        <w:fldChar w:fldCharType="begin" w:fldLock="1"/>
      </w:r>
      <w:r w:rsidRPr="00177078">
        <w:rPr>
          <w:color w:val="242C35"/>
          <w:spacing w:val="5"/>
        </w:rPr>
        <w:instrText>ADDIN CSL_CITATION {"citationItems":[{"id":"ITEM-1","itemData":{"DOI":"PMID: 133998","author":[{"dropping-particle":"","family":"G.G. Baily, J.B Krahn","given":"B.S&gt; Drasar and N.G. STroker","non-dropping-particle":"","parse-names":false,"suffix":""}],"id":"ITEM-1","issued":{"date-parts":[["1992"]]},"publisher":"Journal of Tropical Medicine and Hygiene","title":"Detection of Brucella melitensis and Brucella abortus by DNA amplification","type":"article"},"uris":["http://www.mendeley.com/documents/?uuid=28727022-8823-4475-b1a9-aea8db8f5e30"]}],"mendeley":{"formattedCitation":"(21)","plainTextFormattedCitation":"(21)","previouslyFormattedCitation":"(21)"},"properties":{"noteIndex":0},"schema":"https://github.com/citation-style-language/schema/raw/master/csl-citation.json"}</w:instrText>
      </w:r>
      <w:r w:rsidRPr="00177078">
        <w:rPr>
          <w:color w:val="242C35"/>
          <w:spacing w:val="5"/>
        </w:rPr>
        <w:fldChar w:fldCharType="separate"/>
      </w:r>
      <w:r w:rsidRPr="00177078">
        <w:rPr>
          <w:noProof/>
          <w:color w:val="242C35"/>
          <w:spacing w:val="5"/>
        </w:rPr>
        <w:t>(21)</w:t>
      </w:r>
      <w:r w:rsidRPr="00177078">
        <w:rPr>
          <w:color w:val="242C35"/>
          <w:spacing w:val="5"/>
        </w:rPr>
        <w:fldChar w:fldCharType="end"/>
      </w:r>
      <w:r w:rsidRPr="00177078">
        <w:rPr>
          <w:color w:val="242C35"/>
          <w:spacing w:val="5"/>
        </w:rPr>
        <w:t xml:space="preserve">. </w:t>
      </w:r>
      <w:r>
        <w:t>The PCR r</w:t>
      </w:r>
      <w:r w:rsidRPr="00177078">
        <w:t>eaction mix comprised of: a final concentration of 0.5µM for each of the primer</w:t>
      </w:r>
      <w:r>
        <w:t xml:space="preserve"> pairs</w:t>
      </w:r>
      <w:r w:rsidRPr="00177078">
        <w:t>, 5 µl of the DNA template</w:t>
      </w:r>
      <w:r>
        <w:t xml:space="preserve"> (4-20ng/</w:t>
      </w:r>
      <w:r w:rsidRPr="008909D3">
        <w:t xml:space="preserve"> </w:t>
      </w:r>
      <w:r w:rsidRPr="00177078">
        <w:t>µl</w:t>
      </w:r>
      <w:r>
        <w:t>)</w:t>
      </w:r>
      <w:r w:rsidRPr="00177078">
        <w:t xml:space="preserve"> and x1 concentration of the PCR </w:t>
      </w:r>
      <w:proofErr w:type="spellStart"/>
      <w:r w:rsidRPr="00177078">
        <w:t>mastermix</w:t>
      </w:r>
      <w:proofErr w:type="spellEnd"/>
      <w:r w:rsidRPr="00177078">
        <w:t xml:space="preserve"> (</w:t>
      </w:r>
      <w:proofErr w:type="spellStart"/>
      <w:r>
        <w:t>A</w:t>
      </w:r>
      <w:r w:rsidRPr="00330A52">
        <w:t>ccuPower</w:t>
      </w:r>
      <w:proofErr w:type="spellEnd"/>
      <w:r w:rsidRPr="00330A52">
        <w:t xml:space="preserve"> PCR </w:t>
      </w:r>
      <w:proofErr w:type="spellStart"/>
      <w:r w:rsidRPr="00330A52">
        <w:t>PreMix</w:t>
      </w:r>
      <w:proofErr w:type="spellEnd"/>
      <w:r w:rsidRPr="00330A52">
        <w:t xml:space="preserve"> </w:t>
      </w:r>
      <w:proofErr w:type="spellStart"/>
      <w:r w:rsidRPr="00177078">
        <w:t>Bioneer</w:t>
      </w:r>
      <w:proofErr w:type="spellEnd"/>
      <w:r>
        <w:t xml:space="preserve"> Corp</w:t>
      </w:r>
      <w:r w:rsidRPr="00177078">
        <w:t xml:space="preserve">, Republic of Korea) to a final volume of 25 µl.  After </w:t>
      </w:r>
      <w:r>
        <w:t xml:space="preserve">the </w:t>
      </w:r>
      <w:r w:rsidRPr="00177078">
        <w:t>initial denaturation step of 5 minutes at 95°C in a thermo</w:t>
      </w:r>
      <w:r>
        <w:t>-</w:t>
      </w:r>
      <w:r w:rsidRPr="00177078">
        <w:t xml:space="preserve">cycler (Applied </w:t>
      </w:r>
      <w:proofErr w:type="spellStart"/>
      <w:r w:rsidRPr="00177078">
        <w:t>Biosystems</w:t>
      </w:r>
      <w:proofErr w:type="spellEnd"/>
      <w:r w:rsidRPr="00177078">
        <w:t xml:space="preserve"> </w:t>
      </w:r>
      <w:proofErr w:type="spellStart"/>
      <w:r w:rsidRPr="00177078">
        <w:t>SimpliAmp</w:t>
      </w:r>
      <w:proofErr w:type="spellEnd"/>
      <w:r w:rsidRPr="00177078">
        <w:t xml:space="preserve"> Thermo Cycler, </w:t>
      </w:r>
      <w:proofErr w:type="spellStart"/>
      <w:r w:rsidRPr="00177078">
        <w:t>Lite</w:t>
      </w:r>
      <w:proofErr w:type="spellEnd"/>
      <w:r w:rsidRPr="00177078">
        <w:t xml:space="preserve"> Technologies, Singapore), 35 cycles of denaturation at 94°C for 1minute, annealing at 53°C for 30seconds, extension at 72°C for </w:t>
      </w:r>
      <w:r w:rsidRPr="0025497E">
        <w:t>1</w:t>
      </w:r>
      <w:r>
        <w:t xml:space="preserve"> minute</w:t>
      </w:r>
      <w:r w:rsidRPr="00177078">
        <w:t>, and final extension steps at 72°C for 10</w:t>
      </w:r>
      <w:r>
        <w:t xml:space="preserve"> </w:t>
      </w:r>
      <w:r w:rsidRPr="00177078">
        <w:t xml:space="preserve">minutes were performed. Amplification of the target region was confirmed </w:t>
      </w:r>
      <w:r>
        <w:t>based on</w:t>
      </w:r>
      <w:r w:rsidRPr="00177078">
        <w:t xml:space="preserve"> the presence of specific bands for </w:t>
      </w:r>
      <w:r w:rsidRPr="00177078">
        <w:rPr>
          <w:i/>
        </w:rPr>
        <w:t>Brucella (</w:t>
      </w:r>
      <w:r w:rsidRPr="00177078">
        <w:t xml:space="preserve">223 </w:t>
      </w:r>
      <w:proofErr w:type="spellStart"/>
      <w:r w:rsidRPr="00177078">
        <w:t>bp</w:t>
      </w:r>
      <w:proofErr w:type="spellEnd"/>
      <w:r w:rsidRPr="00177078">
        <w:t>). The PCR products (</w:t>
      </w:r>
      <w:r w:rsidRPr="00177078">
        <w:rPr>
          <w:color w:val="000000"/>
        </w:rPr>
        <w:t>3</w:t>
      </w:r>
      <w:r>
        <w:rPr>
          <w:color w:val="000000"/>
        </w:rPr>
        <w:t>μ</w:t>
      </w:r>
      <w:r w:rsidRPr="00177078">
        <w:rPr>
          <w:color w:val="000000"/>
        </w:rPr>
        <w:t>l)</w:t>
      </w:r>
      <w:r w:rsidRPr="00177078">
        <w:t xml:space="preserve"> were analysed on a </w:t>
      </w:r>
      <w:r w:rsidRPr="00177078">
        <w:rPr>
          <w:color w:val="000000"/>
        </w:rPr>
        <w:t>1.</w:t>
      </w:r>
      <w:r>
        <w:rPr>
          <w:color w:val="000000"/>
        </w:rPr>
        <w:t>8</w:t>
      </w:r>
      <w:r w:rsidRPr="00177078">
        <w:rPr>
          <w:color w:val="000000"/>
        </w:rPr>
        <w:t>% agarose gel</w:t>
      </w:r>
      <w:r w:rsidRPr="00177078">
        <w:t xml:space="preserve"> pre-stained with </w:t>
      </w:r>
      <w:proofErr w:type="spellStart"/>
      <w:r w:rsidRPr="00177078">
        <w:t>GelRed</w:t>
      </w:r>
      <w:proofErr w:type="spellEnd"/>
      <w:r>
        <w:t xml:space="preserve"> nucleic acid stain</w:t>
      </w:r>
      <w:r w:rsidRPr="00177078">
        <w:t xml:space="preserve"> (</w:t>
      </w:r>
      <w:proofErr w:type="spellStart"/>
      <w:r>
        <w:t>Biotium</w:t>
      </w:r>
      <w:proofErr w:type="spellEnd"/>
      <w:r>
        <w:t xml:space="preserve"> Inc.,</w:t>
      </w:r>
      <w:r w:rsidRPr="00177078">
        <w:t xml:space="preserve"> USA) </w:t>
      </w:r>
      <w:r w:rsidRPr="00177078">
        <w:rPr>
          <w:color w:val="000000"/>
        </w:rPr>
        <w:t>run at 6.7</w:t>
      </w:r>
      <w:r>
        <w:rPr>
          <w:color w:val="000000"/>
        </w:rPr>
        <w:t xml:space="preserve"> v</w:t>
      </w:r>
      <w:r w:rsidRPr="00177078">
        <w:rPr>
          <w:color w:val="000000"/>
        </w:rPr>
        <w:t>/cm</w:t>
      </w:r>
      <w:r w:rsidRPr="000C2A19">
        <w:rPr>
          <w:color w:val="000000"/>
          <w:vertAlign w:val="superscript"/>
        </w:rPr>
        <w:t>2</w:t>
      </w:r>
      <w:r w:rsidRPr="00177078">
        <w:rPr>
          <w:color w:val="000000"/>
        </w:rPr>
        <w:t xml:space="preserve"> for 30 minutes </w:t>
      </w:r>
      <w:r w:rsidRPr="00177078">
        <w:t xml:space="preserve">for electrophoresis detection and visualization with a </w:t>
      </w:r>
      <w:proofErr w:type="spellStart"/>
      <w:r w:rsidRPr="00177078">
        <w:t>bioanalytical</w:t>
      </w:r>
      <w:proofErr w:type="spellEnd"/>
      <w:r w:rsidRPr="00177078">
        <w:t xml:space="preserve"> imaging system (Azure </w:t>
      </w:r>
      <w:proofErr w:type="spellStart"/>
      <w:r w:rsidRPr="00177078">
        <w:t>Bio</w:t>
      </w:r>
      <w:r>
        <w:t>s</w:t>
      </w:r>
      <w:r w:rsidRPr="00177078">
        <w:t>ystems</w:t>
      </w:r>
      <w:proofErr w:type="spellEnd"/>
      <w:r w:rsidRPr="00177078">
        <w:t xml:space="preserve"> </w:t>
      </w:r>
      <w:r>
        <w:t>Inc., USA).</w:t>
      </w:r>
    </w:p>
    <w:p w14:paraId="523EA9B5" w14:textId="77777777" w:rsidR="00D04B6E" w:rsidRPr="00177078" w:rsidRDefault="00D04B6E" w:rsidP="00D04B6E">
      <w:pPr>
        <w:spacing w:line="258" w:lineRule="auto"/>
        <w:textDirection w:val="btLr"/>
      </w:pPr>
    </w:p>
    <w:p w14:paraId="49015CB8" w14:textId="77777777" w:rsidR="000059AF" w:rsidRDefault="00D04B6E">
      <w:pPr>
        <w:rPr>
          <w:b/>
        </w:rPr>
      </w:pPr>
      <w:r w:rsidRPr="00D04B6E">
        <w:rPr>
          <w:b/>
        </w:rPr>
        <w:t>Results</w:t>
      </w:r>
    </w:p>
    <w:p w14:paraId="544EE21F" w14:textId="77777777" w:rsidR="00D04B6E" w:rsidRPr="00177078" w:rsidRDefault="00D04B6E" w:rsidP="00D04B6E">
      <w:pPr>
        <w:tabs>
          <w:tab w:val="left" w:pos="488"/>
        </w:tabs>
        <w:spacing w:line="276" w:lineRule="auto"/>
        <w:jc w:val="both"/>
      </w:pPr>
      <w:r w:rsidRPr="00177078">
        <w:t xml:space="preserve">Out of the 20 samples selected for molecular analysis, 4 samples amplified the target region of interest on molecular testing using conventional PCR, giving an anticipated band of 223 base pairs (Figure 1). </w:t>
      </w:r>
    </w:p>
    <w:p w14:paraId="7145B2F3" w14:textId="77777777" w:rsidR="00D04B6E" w:rsidRPr="00177078" w:rsidRDefault="00D04B6E" w:rsidP="00D04B6E">
      <w:pPr>
        <w:tabs>
          <w:tab w:val="left" w:pos="488"/>
        </w:tabs>
      </w:pPr>
      <w:r w:rsidRPr="008F19B4">
        <w:rPr>
          <w:noProof/>
        </w:rPr>
        <w:drawing>
          <wp:inline distT="0" distB="0" distL="0" distR="0" wp14:anchorId="135A3117" wp14:editId="061A0B7D">
            <wp:extent cx="59182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EFF81" w14:textId="77777777" w:rsidR="00D04B6E" w:rsidRPr="00177078" w:rsidRDefault="00D04B6E" w:rsidP="00D04B6E">
      <w:pPr>
        <w:tabs>
          <w:tab w:val="left" w:pos="488"/>
        </w:tabs>
        <w:jc w:val="center"/>
      </w:pPr>
    </w:p>
    <w:p w14:paraId="00CCA8A5" w14:textId="77777777" w:rsidR="00D04B6E" w:rsidRPr="00177078" w:rsidRDefault="00D04B6E" w:rsidP="00D04B6E">
      <w:pPr>
        <w:spacing w:line="258" w:lineRule="auto"/>
        <w:jc w:val="both"/>
        <w:textDirection w:val="btLr"/>
      </w:pPr>
      <w:r w:rsidRPr="00177078">
        <w:rPr>
          <w:b/>
        </w:rPr>
        <w:t xml:space="preserve">Figure 1: </w:t>
      </w:r>
      <w:r>
        <w:t>An agarose g</w:t>
      </w:r>
      <w:r w:rsidRPr="00177078">
        <w:t xml:space="preserve">el </w:t>
      </w:r>
      <w:r>
        <w:t xml:space="preserve">image </w:t>
      </w:r>
      <w:r w:rsidRPr="00177078">
        <w:t xml:space="preserve">showing </w:t>
      </w:r>
      <w:r>
        <w:t xml:space="preserve">a </w:t>
      </w:r>
      <w:r w:rsidRPr="00177078">
        <w:t xml:space="preserve">223bp </w:t>
      </w:r>
      <w:proofErr w:type="spellStart"/>
      <w:r>
        <w:rPr>
          <w:color w:val="000000"/>
        </w:rPr>
        <w:t>amplicon</w:t>
      </w:r>
      <w:proofErr w:type="spellEnd"/>
      <w:r>
        <w:rPr>
          <w:color w:val="000000"/>
        </w:rPr>
        <w:t xml:space="preserve"> of the</w:t>
      </w:r>
      <w:r w:rsidRPr="00177078">
        <w:rPr>
          <w:color w:val="000000"/>
        </w:rPr>
        <w:t xml:space="preserve"> NTC – negative template control, samples 1-4 against a 1kbplus ladder</w:t>
      </w:r>
      <w:r>
        <w:rPr>
          <w:color w:val="000000"/>
        </w:rPr>
        <w:t xml:space="preserve"> (</w:t>
      </w:r>
      <w:proofErr w:type="spellStart"/>
      <w:r w:rsidRPr="00177078">
        <w:rPr>
          <w:rFonts w:eastAsia="Times New Roman"/>
          <w:color w:val="000000"/>
          <w:shd w:val="clear" w:color="auto" w:fill="FFFFFF"/>
        </w:rPr>
        <w:t>Thermo</w:t>
      </w:r>
      <w:r>
        <w:rPr>
          <w:rFonts w:eastAsia="Times New Roman"/>
          <w:color w:val="000000"/>
          <w:shd w:val="clear" w:color="auto" w:fill="FFFFFF"/>
        </w:rPr>
        <w:t>Fisher</w:t>
      </w:r>
      <w:proofErr w:type="spellEnd"/>
      <w:r>
        <w:rPr>
          <w:rFonts w:eastAsia="Times New Roman"/>
          <w:color w:val="000000"/>
          <w:shd w:val="clear" w:color="auto" w:fill="FFFFFF"/>
        </w:rPr>
        <w:t xml:space="preserve"> S</w:t>
      </w:r>
      <w:r w:rsidRPr="00177078">
        <w:rPr>
          <w:rFonts w:eastAsia="Times New Roman"/>
          <w:color w:val="000000"/>
          <w:shd w:val="clear" w:color="auto" w:fill="FFFFFF"/>
        </w:rPr>
        <w:t xml:space="preserve">cientific, </w:t>
      </w:r>
      <w:r>
        <w:rPr>
          <w:rFonts w:eastAsia="Times New Roman"/>
          <w:color w:val="000000"/>
          <w:shd w:val="clear" w:color="auto" w:fill="FFFFFF"/>
        </w:rPr>
        <w:t>USA)</w:t>
      </w:r>
      <w:r w:rsidRPr="00177078">
        <w:rPr>
          <w:color w:val="000000"/>
        </w:rPr>
        <w:t>.</w:t>
      </w:r>
    </w:p>
    <w:p w14:paraId="466E7EEF" w14:textId="77777777" w:rsidR="00D04B6E" w:rsidRPr="00177078" w:rsidRDefault="00D04B6E" w:rsidP="00D04B6E">
      <w:pPr>
        <w:tabs>
          <w:tab w:val="left" w:pos="5985"/>
        </w:tabs>
        <w:jc w:val="both"/>
        <w:rPr>
          <w:b/>
        </w:rPr>
      </w:pPr>
    </w:p>
    <w:p w14:paraId="18086B1F" w14:textId="77777777" w:rsidR="00D04B6E" w:rsidRPr="00D04B6E" w:rsidRDefault="00D04B6E" w:rsidP="00D04B6E">
      <w:pPr>
        <w:tabs>
          <w:tab w:val="left" w:pos="488"/>
        </w:tabs>
        <w:spacing w:line="276" w:lineRule="auto"/>
        <w:jc w:val="both"/>
      </w:pPr>
      <w:r w:rsidRPr="00177078">
        <w:t>Six out of the 20 samples tested by real</w:t>
      </w:r>
      <w:r>
        <w:t>-</w:t>
      </w:r>
      <w:r w:rsidRPr="00177078">
        <w:t xml:space="preserve">time PCR amplified with both the bcsp31 and the </w:t>
      </w:r>
      <w:r w:rsidRPr="00581F46">
        <w:rPr>
          <w:i/>
        </w:rPr>
        <w:t>IS</w:t>
      </w:r>
      <w:r w:rsidRPr="00795CE3">
        <w:rPr>
          <w:i/>
          <w:iCs/>
        </w:rPr>
        <w:t>711</w:t>
      </w:r>
      <w:r w:rsidRPr="00177078">
        <w:t xml:space="preserve"> genus</w:t>
      </w:r>
      <w:r>
        <w:t>-</w:t>
      </w:r>
      <w:r w:rsidRPr="00177078">
        <w:t xml:space="preserve">specific primers used to detect the presence of </w:t>
      </w:r>
      <w:r w:rsidRPr="00177078">
        <w:rPr>
          <w:i/>
        </w:rPr>
        <w:t>Brucella</w:t>
      </w:r>
      <w:r w:rsidRPr="00177078">
        <w:t xml:space="preserve"> DNA.</w:t>
      </w:r>
      <w:r>
        <w:t xml:space="preserve"> </w:t>
      </w:r>
      <w:bookmarkStart w:id="0" w:name="_GoBack"/>
      <w:bookmarkEnd w:id="0"/>
    </w:p>
    <w:sectPr w:rsidR="00D04B6E" w:rsidRPr="00D04B6E" w:rsidSect="00A45D3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B6E"/>
    <w:rsid w:val="000059AF"/>
    <w:rsid w:val="00A45D35"/>
    <w:rsid w:val="00D0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E48D2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4B6E"/>
    <w:rPr>
      <w:rFonts w:ascii="Times New Roman" w:eastAsia="Calibri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381</Words>
  <Characters>2175</Characters>
  <Application>Microsoft Macintosh Word</Application>
  <DocSecurity>0</DocSecurity>
  <Lines>18</Lines>
  <Paragraphs>5</Paragraphs>
  <ScaleCrop>false</ScaleCrop>
  <LinksUpToDate>false</LinksUpToDate>
  <CharactersWithSpaces>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Akoko</dc:creator>
  <cp:keywords/>
  <dc:description/>
  <cp:lastModifiedBy>James Akoko</cp:lastModifiedBy>
  <cp:revision>1</cp:revision>
  <dcterms:created xsi:type="dcterms:W3CDTF">2020-03-18T02:21:00Z</dcterms:created>
  <dcterms:modified xsi:type="dcterms:W3CDTF">2020-03-18T02:24:00Z</dcterms:modified>
</cp:coreProperties>
</file>